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Arial" w:cs="Arial" w:hAnsi="Arial" w:eastAsia="Arial"/>
          <w:b w:val="1"/>
          <w:bCs w:val="1"/>
          <w:sz w:val="28"/>
          <w:szCs w:val="28"/>
        </w:rPr>
      </w:pPr>
      <w:r>
        <w:rPr>
          <w:rFonts w:ascii="Arial" w:hAnsi="Arial"/>
          <w:b w:val="1"/>
          <w:bCs w:val="1"/>
          <w:sz w:val="28"/>
          <w:szCs w:val="28"/>
          <w:rtl w:val="0"/>
          <w:lang w:val="en-US"/>
        </w:rPr>
        <w:t xml:space="preserve">The John Mills MBE Education Award   </w:t>
      </w:r>
    </w:p>
    <w:p>
      <w:pPr>
        <w:pStyle w:val="Body"/>
        <w:jc w:val="center"/>
        <w:rPr>
          <w:rFonts w:ascii="Arial" w:cs="Arial" w:hAnsi="Arial" w:eastAsia="Arial"/>
          <w:b w:val="1"/>
          <w:bCs w:val="1"/>
          <w:sz w:val="24"/>
          <w:szCs w:val="24"/>
        </w:rPr>
      </w:pPr>
      <w:r>
        <w:rPr>
          <w:rFonts w:ascii="Arial" w:hAnsi="Arial"/>
          <w:b w:val="1"/>
          <w:bCs w:val="1"/>
          <w:sz w:val="24"/>
          <w:szCs w:val="24"/>
          <w:rtl w:val="0"/>
        </w:rPr>
        <w:t xml:space="preserve">                                                  </w:t>
      </w:r>
      <w:r>
        <w:rPr>
          <w:rFonts w:ascii="Arial" w:cs="Arial" w:hAnsi="Arial" w:eastAsia="Arial"/>
          <w:b w:val="1"/>
          <w:bCs w:val="1"/>
          <w:sz w:val="24"/>
          <w:szCs w:val="24"/>
        </w:rPr>
        <w:drawing xmlns:a="http://schemas.openxmlformats.org/drawingml/2006/main">
          <wp:inline distT="0" distB="0" distL="0" distR="0">
            <wp:extent cx="4238625" cy="1971685"/>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rcRect l="10789" t="23333" r="17552" b="0"/>
                    <a:stretch>
                      <a:fillRect/>
                    </a:stretch>
                  </pic:blipFill>
                  <pic:spPr>
                    <a:xfrm>
                      <a:off x="0" y="0"/>
                      <a:ext cx="4238625" cy="1971685"/>
                    </a:xfrm>
                    <a:prstGeom prst="rect">
                      <a:avLst/>
                    </a:prstGeom>
                    <a:ln w="12700" cap="flat">
                      <a:noFill/>
                      <a:miter lim="400000"/>
                    </a:ln>
                    <a:effectLst/>
                  </pic:spPr>
                </pic:pic>
              </a:graphicData>
            </a:graphic>
          </wp:inline>
        </w:drawing>
      </w:r>
    </w:p>
    <w:p>
      <w:pPr>
        <w:pStyle w:val="Body"/>
        <w:rPr>
          <w:rFonts w:ascii="Arial" w:cs="Arial" w:hAnsi="Arial" w:eastAsia="Arial"/>
          <w:b w:val="1"/>
          <w:bCs w:val="1"/>
          <w:sz w:val="24"/>
          <w:szCs w:val="24"/>
        </w:rPr>
      </w:pPr>
    </w:p>
    <w:p>
      <w:pPr>
        <w:pStyle w:val="Body"/>
        <w:rPr>
          <w:rFonts w:ascii="Arial" w:cs="Arial" w:hAnsi="Arial" w:eastAsia="Arial"/>
          <w:b w:val="1"/>
          <w:bCs w:val="1"/>
          <w:sz w:val="24"/>
          <w:szCs w:val="24"/>
        </w:rPr>
      </w:pPr>
      <w:r>
        <w:rPr>
          <w:rFonts w:ascii="Arial" w:hAnsi="Arial"/>
          <w:b w:val="1"/>
          <w:bCs w:val="1"/>
          <w:sz w:val="24"/>
          <w:szCs w:val="24"/>
          <w:rtl w:val="0"/>
          <w:lang w:val="en-US"/>
        </w:rPr>
        <w:t>Background</w:t>
      </w:r>
    </w:p>
    <w:p>
      <w:pPr>
        <w:pStyle w:val="Body"/>
        <w:jc w:val="both"/>
        <w:rPr>
          <w:rFonts w:ascii="Arial" w:cs="Arial" w:hAnsi="Arial" w:eastAsia="Arial"/>
          <w:sz w:val="24"/>
          <w:szCs w:val="24"/>
        </w:rPr>
      </w:pPr>
      <w:r>
        <w:rPr>
          <w:rFonts w:ascii="Arial" w:hAnsi="Arial"/>
          <w:sz w:val="24"/>
          <w:szCs w:val="24"/>
          <w:rtl w:val="0"/>
          <w:lang w:val="en-US"/>
        </w:rPr>
        <w:t>Dr John Mills was a Bakewell dentist who was diagnosed with Granulomatosis with Polyangiitis in 2001. Following his diagnosis, he undertook many roles including becoming a member of the British Society of Rheumatology (BSR) and British Health Professionals in Rheumatology (BHPR) guideline panel, Member of the Board of Trustees at the Genetic Alliance UK and Rare Disease UK, and a patient representative for vasculitis for European Organisation for Rare Diseases (EURODIS)-Rare Disease Europe.</w:t>
      </w:r>
    </w:p>
    <w:p>
      <w:pPr>
        <w:pStyle w:val="Body"/>
        <w:jc w:val="both"/>
        <w:rPr>
          <w:rFonts w:ascii="Arial" w:cs="Arial" w:hAnsi="Arial" w:eastAsia="Arial"/>
          <w:sz w:val="24"/>
          <w:szCs w:val="24"/>
        </w:rPr>
      </w:pPr>
      <w:r>
        <w:rPr>
          <w:rFonts w:ascii="Arial" w:hAnsi="Arial"/>
          <w:sz w:val="24"/>
          <w:szCs w:val="24"/>
          <w:rtl w:val="0"/>
          <w:lang w:val="en-US"/>
        </w:rPr>
        <w:t xml:space="preserve">In 2009, John became the Chair of the Stuart Strange Vasculitis Trust (SSVT), which became Vasculitis UK in 2010. Since then, John served as Vasculitis Patient Representative for the UK and Ireland Vasculitis Study Group (UKIVAS) and European League Against Rheumatology (EULAR). </w:t>
      </w:r>
    </w:p>
    <w:p>
      <w:pPr>
        <w:pStyle w:val="Body"/>
        <w:jc w:val="both"/>
        <w:rPr>
          <w:rFonts w:ascii="Arial" w:cs="Arial" w:hAnsi="Arial" w:eastAsia="Arial"/>
          <w:sz w:val="24"/>
          <w:szCs w:val="24"/>
        </w:rPr>
      </w:pPr>
      <w:r>
        <w:rPr>
          <w:rFonts w:ascii="Arial" w:hAnsi="Arial"/>
          <w:sz w:val="24"/>
          <w:szCs w:val="24"/>
          <w:rtl w:val="0"/>
          <w:lang w:val="en-US"/>
        </w:rPr>
        <w:t>John was the Patient Public Voice for NHS England Specialised Rheumatology Services for 6 years and was also part of the NICE appraisal for Rituximab in ANCA vasculitis.</w:t>
      </w:r>
    </w:p>
    <w:p>
      <w:pPr>
        <w:pStyle w:val="Body"/>
        <w:jc w:val="both"/>
        <w:rPr>
          <w:rFonts w:ascii="Arial" w:cs="Arial" w:hAnsi="Arial" w:eastAsia="Arial"/>
          <w:sz w:val="24"/>
          <w:szCs w:val="24"/>
        </w:rPr>
      </w:pPr>
      <w:r>
        <w:rPr>
          <w:rFonts w:ascii="Arial" w:hAnsi="Arial"/>
          <w:sz w:val="24"/>
          <w:szCs w:val="24"/>
          <w:rtl w:val="0"/>
          <w:lang w:val="en-US"/>
        </w:rPr>
        <w:t>In 2023 John was awarded an MBE for services to People with Rare Diseases through his role as Chair and Director of Operations of Vasculitis UK</w:t>
      </w:r>
      <w:r>
        <w:rPr>
          <w:sz w:val="24"/>
          <w:szCs w:val="24"/>
          <w:rtl w:val="0"/>
        </w:rPr>
        <w:t xml:space="preserve"> </w:t>
      </w:r>
      <w:r>
        <w:rPr>
          <w:rFonts w:ascii="Arial" w:hAnsi="Arial"/>
          <w:sz w:val="24"/>
          <w:szCs w:val="24"/>
          <w:rtl w:val="0"/>
          <w:lang w:val="en-US"/>
        </w:rPr>
        <w:t xml:space="preserve">in recognition of his tireless work for the vasculitis community. </w:t>
      </w:r>
    </w:p>
    <w:p>
      <w:pPr>
        <w:pStyle w:val="Body"/>
        <w:jc w:val="both"/>
        <w:rPr>
          <w:rFonts w:ascii="Arial" w:cs="Arial" w:hAnsi="Arial" w:eastAsia="Arial"/>
          <w:sz w:val="24"/>
          <w:szCs w:val="24"/>
        </w:rPr>
      </w:pPr>
      <w:r>
        <w:rPr>
          <w:rFonts w:ascii="Arial" w:hAnsi="Arial"/>
          <w:sz w:val="24"/>
          <w:szCs w:val="24"/>
          <w:rtl w:val="0"/>
          <w:lang w:val="en-US"/>
        </w:rPr>
        <w:t>John worked unremittingly to improve vasculitis patient care, championing education of both healthcare professionals and patients and supporting vasculitis research across centres in the UK. His undoubted achievements and successes were enhanced by the devotion and dedication of his wife Susan who continues to champion this cause.</w:t>
      </w:r>
    </w:p>
    <w:p>
      <w:pPr>
        <w:pStyle w:val="Body"/>
        <w:jc w:val="both"/>
        <w:rPr>
          <w:rFonts w:ascii="Arial" w:cs="Arial" w:hAnsi="Arial" w:eastAsia="Arial"/>
          <w:sz w:val="24"/>
          <w:szCs w:val="24"/>
        </w:rPr>
      </w:pPr>
      <w:r>
        <w:rPr>
          <w:rFonts w:ascii="Arial" w:hAnsi="Arial"/>
          <w:sz w:val="24"/>
          <w:szCs w:val="24"/>
          <w:rtl w:val="0"/>
          <w:lang w:val="en-US"/>
        </w:rPr>
        <w:t xml:space="preserve">In recognition of the legacy left by John </w:t>
      </w:r>
      <w:r>
        <w:rPr>
          <w:rFonts w:ascii="Arial" w:hAnsi="Arial" w:hint="default"/>
          <w:sz w:val="24"/>
          <w:szCs w:val="24"/>
          <w:rtl w:val="0"/>
          <w:lang w:val="en-US"/>
        </w:rPr>
        <w:t>“</w:t>
      </w:r>
      <w:r>
        <w:rPr>
          <w:rFonts w:ascii="Arial" w:hAnsi="Arial"/>
          <w:sz w:val="24"/>
          <w:szCs w:val="24"/>
          <w:rtl w:val="0"/>
          <w:lang w:val="en-US"/>
        </w:rPr>
        <w:t>The John Mills MBE Education Award</w:t>
      </w:r>
      <w:r>
        <w:rPr>
          <w:rFonts w:ascii="Arial" w:hAnsi="Arial" w:hint="default"/>
          <w:sz w:val="24"/>
          <w:szCs w:val="24"/>
          <w:rtl w:val="0"/>
          <w:lang w:val="en-US"/>
        </w:rPr>
        <w:t xml:space="preserve">” </w:t>
      </w:r>
      <w:r>
        <w:rPr>
          <w:rFonts w:ascii="Arial" w:hAnsi="Arial"/>
          <w:sz w:val="24"/>
          <w:szCs w:val="24"/>
          <w:rtl w:val="0"/>
          <w:lang w:val="en-US"/>
        </w:rPr>
        <w:t>seeks to recognise innovative educational projects which have made a difference to those living with or caring for people with vasculitis.</w:t>
      </w:r>
    </w:p>
    <w:p>
      <w:pPr>
        <w:pStyle w:val="Body"/>
        <w:jc w:val="both"/>
        <w:rPr>
          <w:rFonts w:ascii="Arial" w:cs="Arial" w:hAnsi="Arial" w:eastAsia="Arial"/>
          <w:b w:val="1"/>
          <w:bCs w:val="1"/>
          <w:sz w:val="24"/>
          <w:szCs w:val="24"/>
        </w:rPr>
      </w:pPr>
    </w:p>
    <w:p>
      <w:pPr>
        <w:pStyle w:val="Body"/>
        <w:jc w:val="both"/>
        <w:rPr>
          <w:sz w:val="24"/>
          <w:szCs w:val="24"/>
        </w:rPr>
      </w:pPr>
      <w:r>
        <w:rPr>
          <w:rFonts w:ascii="Arial" w:hAnsi="Arial"/>
          <w:b w:val="1"/>
          <w:bCs w:val="1"/>
          <w:sz w:val="24"/>
          <w:szCs w:val="24"/>
          <w:rtl w:val="0"/>
          <w:lang w:val="en-US"/>
        </w:rPr>
        <w:t>The Award</w:t>
      </w:r>
    </w:p>
    <w:p>
      <w:pPr>
        <w:pStyle w:val="Body"/>
        <w:jc w:val="both"/>
        <w:rPr>
          <w:rFonts w:ascii="Arial" w:cs="Arial" w:hAnsi="Arial" w:eastAsia="Arial"/>
          <w:sz w:val="24"/>
          <w:szCs w:val="24"/>
        </w:rPr>
      </w:pPr>
      <w:r>
        <w:rPr>
          <w:rFonts w:ascii="Arial" w:hAnsi="Arial" w:hint="default"/>
          <w:sz w:val="24"/>
          <w:szCs w:val="24"/>
          <w:rtl w:val="0"/>
          <w:lang w:val="en-US"/>
        </w:rPr>
        <w:t>£</w:t>
      </w:r>
      <w:r>
        <w:rPr>
          <w:rFonts w:ascii="Arial" w:hAnsi="Arial"/>
          <w:sz w:val="24"/>
          <w:szCs w:val="24"/>
          <w:rtl w:val="0"/>
          <w:lang w:val="en-US"/>
        </w:rPr>
        <w:t>500 will be awarded to the prize winner alongside the opportunity to attend the annual UKIVAS training course to present this educational work. The award winner will be posted on the Vasculitis UK website</w:t>
      </w:r>
      <w:r>
        <w:rPr>
          <w:sz w:val="24"/>
          <w:szCs w:val="24"/>
          <w:rtl w:val="0"/>
        </w:rPr>
        <w:t xml:space="preserve"> </w:t>
      </w:r>
      <w:r>
        <w:rPr>
          <w:rFonts w:ascii="Arial" w:hAnsi="Arial"/>
          <w:sz w:val="24"/>
          <w:szCs w:val="24"/>
          <w:rtl w:val="0"/>
          <w:lang w:val="en-US"/>
        </w:rPr>
        <w:t>together with a summary of their project.</w:t>
      </w:r>
    </w:p>
    <w:p>
      <w:pPr>
        <w:pStyle w:val="Body"/>
        <w:jc w:val="both"/>
        <w:rPr>
          <w:rFonts w:ascii="Arial" w:cs="Arial" w:hAnsi="Arial" w:eastAsia="Arial"/>
          <w:b w:val="1"/>
          <w:bCs w:val="1"/>
          <w:sz w:val="24"/>
          <w:szCs w:val="24"/>
        </w:rPr>
      </w:pPr>
    </w:p>
    <w:p>
      <w:pPr>
        <w:pStyle w:val="Body"/>
        <w:jc w:val="both"/>
        <w:rPr>
          <w:rFonts w:ascii="Arial" w:cs="Arial" w:hAnsi="Arial" w:eastAsia="Arial"/>
          <w:sz w:val="24"/>
          <w:szCs w:val="24"/>
        </w:rPr>
      </w:pPr>
      <w:r>
        <w:rPr>
          <w:rFonts w:ascii="Arial" w:hAnsi="Arial"/>
          <w:b w:val="1"/>
          <w:bCs w:val="1"/>
          <w:sz w:val="24"/>
          <w:szCs w:val="24"/>
          <w:rtl w:val="0"/>
          <w:lang w:val="fr-FR"/>
        </w:rPr>
        <w:t>Application criteria</w:t>
      </w:r>
    </w:p>
    <w:p>
      <w:pPr>
        <w:pStyle w:val="Body"/>
        <w:jc w:val="both"/>
        <w:rPr>
          <w:rFonts w:ascii="Arial" w:cs="Arial" w:hAnsi="Arial" w:eastAsia="Arial"/>
          <w:sz w:val="24"/>
          <w:szCs w:val="24"/>
        </w:rPr>
      </w:pPr>
      <w:r>
        <w:rPr>
          <w:rFonts w:ascii="Arial" w:hAnsi="Arial"/>
          <w:sz w:val="24"/>
          <w:szCs w:val="24"/>
          <w:rtl w:val="0"/>
          <w:lang w:val="en-US"/>
        </w:rPr>
        <w:t>This award is open to applications from any healthcare professional or non-professional (e.g. patient/ carer) who has undertaken educational projects or educational initiatives in the field of vasculitis. Applications will be considered from groups or individuals. Projects can be nominated for this award by others.</w:t>
      </w:r>
    </w:p>
    <w:p>
      <w:pPr>
        <w:pStyle w:val="Body"/>
        <w:jc w:val="both"/>
        <w:rPr>
          <w:rFonts w:ascii="Arial" w:cs="Arial" w:hAnsi="Arial" w:eastAsia="Arial"/>
          <w:sz w:val="24"/>
          <w:szCs w:val="24"/>
        </w:rPr>
      </w:pPr>
    </w:p>
    <w:p>
      <w:pPr>
        <w:pStyle w:val="Body"/>
        <w:jc w:val="both"/>
        <w:rPr>
          <w:sz w:val="24"/>
          <w:szCs w:val="24"/>
        </w:rPr>
      </w:pPr>
      <w:r>
        <w:rPr>
          <w:rFonts w:ascii="Arial" w:hAnsi="Arial"/>
          <w:sz w:val="24"/>
          <w:szCs w:val="24"/>
          <w:rtl w:val="0"/>
          <w:lang w:val="en-US"/>
        </w:rPr>
        <w:t xml:space="preserve">Applications with the following aspects will be viewed favourably: </w:t>
      </w:r>
    </w:p>
    <w:p>
      <w:pPr>
        <w:pStyle w:val="List Paragraph"/>
        <w:numPr>
          <w:ilvl w:val="0"/>
          <w:numId w:val="2"/>
        </w:numPr>
        <w:bidi w:val="0"/>
        <w:ind w:right="0"/>
        <w:jc w:val="both"/>
        <w:rPr>
          <w:rFonts w:ascii="Arial" w:hAnsi="Arial"/>
          <w:sz w:val="24"/>
          <w:szCs w:val="24"/>
          <w:rtl w:val="0"/>
          <w:lang w:val="en-US"/>
        </w:rPr>
      </w:pPr>
      <w:r>
        <w:rPr>
          <w:rFonts w:ascii="Arial" w:hAnsi="Arial"/>
          <w:sz w:val="24"/>
          <w:szCs w:val="24"/>
          <w:rtl w:val="0"/>
          <w:lang w:val="en-US"/>
        </w:rPr>
        <w:t>Completed projects (or those with significant progress underway)</w:t>
      </w:r>
    </w:p>
    <w:p>
      <w:pPr>
        <w:pStyle w:val="List Paragraph"/>
        <w:numPr>
          <w:ilvl w:val="0"/>
          <w:numId w:val="2"/>
        </w:numPr>
        <w:bidi w:val="0"/>
        <w:ind w:right="0"/>
        <w:jc w:val="both"/>
        <w:rPr>
          <w:rFonts w:ascii="Arial" w:hAnsi="Arial"/>
          <w:sz w:val="24"/>
          <w:szCs w:val="24"/>
          <w:rtl w:val="0"/>
          <w:lang w:val="en-US"/>
        </w:rPr>
      </w:pPr>
      <w:r>
        <w:rPr>
          <w:rFonts w:ascii="Arial" w:hAnsi="Arial"/>
          <w:sz w:val="24"/>
          <w:szCs w:val="24"/>
          <w:rtl w:val="0"/>
          <w:lang w:val="en-US"/>
        </w:rPr>
        <w:t>Collaborative projects e.g. multi-disciplinary involvement, cross centre collaboration</w:t>
      </w:r>
    </w:p>
    <w:p>
      <w:pPr>
        <w:pStyle w:val="List Paragraph"/>
        <w:numPr>
          <w:ilvl w:val="0"/>
          <w:numId w:val="2"/>
        </w:numPr>
        <w:bidi w:val="0"/>
        <w:ind w:right="0"/>
        <w:jc w:val="both"/>
        <w:rPr>
          <w:rFonts w:ascii="Arial" w:hAnsi="Arial"/>
          <w:sz w:val="24"/>
          <w:szCs w:val="24"/>
          <w:rtl w:val="0"/>
          <w:lang w:val="en-US"/>
        </w:rPr>
      </w:pPr>
      <w:r>
        <w:rPr>
          <w:rFonts w:ascii="Arial" w:hAnsi="Arial"/>
          <w:sz w:val="24"/>
          <w:szCs w:val="24"/>
          <w:rtl w:val="0"/>
          <w:lang w:val="en-US"/>
        </w:rPr>
        <w:t>Ability to demonstrate positive impact of the educational activity on vasculitis patient care.</w:t>
      </w:r>
    </w:p>
    <w:p>
      <w:pPr>
        <w:pStyle w:val="List Paragraph"/>
        <w:numPr>
          <w:ilvl w:val="0"/>
          <w:numId w:val="2"/>
        </w:numPr>
        <w:bidi w:val="0"/>
        <w:ind w:right="0"/>
        <w:jc w:val="both"/>
        <w:rPr>
          <w:rFonts w:ascii="Arial" w:hAnsi="Arial"/>
          <w:sz w:val="24"/>
          <w:szCs w:val="24"/>
          <w:rtl w:val="0"/>
          <w:lang w:val="en-US"/>
        </w:rPr>
      </w:pPr>
      <w:r>
        <w:rPr>
          <w:rFonts w:ascii="Arial" w:hAnsi="Arial"/>
          <w:sz w:val="24"/>
          <w:szCs w:val="24"/>
          <w:rtl w:val="0"/>
          <w:lang w:val="en-US"/>
        </w:rPr>
        <w:t>Projects not previously presented or published elsewhere.</w:t>
      </w:r>
    </w:p>
    <w:p>
      <w:pPr>
        <w:pStyle w:val="Body"/>
        <w:jc w:val="both"/>
        <w:rPr>
          <w:rFonts w:ascii="Arial" w:cs="Arial" w:hAnsi="Arial" w:eastAsia="Arial"/>
          <w:sz w:val="24"/>
          <w:szCs w:val="24"/>
        </w:rPr>
      </w:pPr>
    </w:p>
    <w:p>
      <w:pPr>
        <w:pStyle w:val="Body"/>
        <w:jc w:val="both"/>
        <w:rPr>
          <w:rFonts w:ascii="Arial" w:cs="Arial" w:hAnsi="Arial" w:eastAsia="Arial"/>
          <w:sz w:val="24"/>
          <w:szCs w:val="24"/>
        </w:rPr>
      </w:pPr>
      <w:r>
        <w:rPr>
          <w:rFonts w:ascii="Arial" w:hAnsi="Arial"/>
          <w:sz w:val="24"/>
          <w:szCs w:val="24"/>
          <w:rtl w:val="0"/>
          <w:lang w:val="en-US"/>
        </w:rPr>
        <w:t>Examples of educational projects that might be eligible include: -</w:t>
      </w:r>
    </w:p>
    <w:p>
      <w:pPr>
        <w:pStyle w:val="List Paragraph"/>
        <w:numPr>
          <w:ilvl w:val="0"/>
          <w:numId w:val="4"/>
        </w:numPr>
        <w:bidi w:val="0"/>
        <w:ind w:right="0"/>
        <w:jc w:val="both"/>
        <w:rPr>
          <w:rFonts w:ascii="Arial" w:hAnsi="Arial"/>
          <w:sz w:val="24"/>
          <w:szCs w:val="24"/>
          <w:rtl w:val="0"/>
          <w:lang w:val="en-US"/>
        </w:rPr>
      </w:pPr>
      <w:r>
        <w:rPr>
          <w:rFonts w:ascii="Arial" w:hAnsi="Arial"/>
          <w:sz w:val="24"/>
          <w:szCs w:val="24"/>
          <w:rtl w:val="0"/>
          <w:lang w:val="en-US"/>
        </w:rPr>
        <w:t>Creating training programmes, workshops or meetings for clinical staff managing vasculitis.</w:t>
      </w:r>
    </w:p>
    <w:p>
      <w:pPr>
        <w:pStyle w:val="List Paragraph"/>
        <w:numPr>
          <w:ilvl w:val="0"/>
          <w:numId w:val="4"/>
        </w:numPr>
        <w:bidi w:val="0"/>
        <w:ind w:right="0"/>
        <w:jc w:val="both"/>
        <w:rPr>
          <w:rFonts w:ascii="Arial" w:hAnsi="Arial"/>
          <w:sz w:val="24"/>
          <w:szCs w:val="24"/>
          <w:rtl w:val="0"/>
          <w:lang w:val="en-US"/>
        </w:rPr>
      </w:pPr>
      <w:r>
        <w:rPr>
          <w:rFonts w:ascii="Arial" w:hAnsi="Arial"/>
          <w:sz w:val="24"/>
          <w:szCs w:val="24"/>
          <w:rtl w:val="0"/>
          <w:lang w:val="en-US"/>
        </w:rPr>
        <w:t>The design of disease specific educational documentation or information leaflets for staff and / or patients.</w:t>
      </w:r>
    </w:p>
    <w:p>
      <w:pPr>
        <w:pStyle w:val="List Paragraph"/>
        <w:numPr>
          <w:ilvl w:val="0"/>
          <w:numId w:val="4"/>
        </w:numPr>
        <w:bidi w:val="0"/>
        <w:ind w:right="0"/>
        <w:jc w:val="both"/>
        <w:rPr>
          <w:rFonts w:ascii="Arial" w:hAnsi="Arial"/>
          <w:sz w:val="24"/>
          <w:szCs w:val="24"/>
          <w:rtl w:val="0"/>
          <w:lang w:val="en-US"/>
        </w:rPr>
      </w:pPr>
      <w:r>
        <w:rPr>
          <w:rFonts w:ascii="Arial" w:hAnsi="Arial"/>
          <w:sz w:val="24"/>
          <w:szCs w:val="24"/>
          <w:rtl w:val="0"/>
          <w:lang w:val="en-US"/>
        </w:rPr>
        <w:t>Hosting or facilitating a dedicated vasculitis fellowship or trainee opportunity for any clinical discipline.</w:t>
      </w:r>
    </w:p>
    <w:p>
      <w:pPr>
        <w:pStyle w:val="List Paragraph"/>
        <w:numPr>
          <w:ilvl w:val="0"/>
          <w:numId w:val="4"/>
        </w:numPr>
        <w:bidi w:val="0"/>
        <w:ind w:right="0"/>
        <w:jc w:val="both"/>
        <w:rPr>
          <w:rFonts w:ascii="Arial" w:hAnsi="Arial"/>
          <w:sz w:val="24"/>
          <w:szCs w:val="24"/>
          <w:rtl w:val="0"/>
          <w:lang w:val="en-US"/>
        </w:rPr>
      </w:pPr>
      <w:r>
        <w:rPr>
          <w:rFonts w:ascii="Arial" w:hAnsi="Arial"/>
          <w:sz w:val="24"/>
          <w:szCs w:val="24"/>
          <w:rtl w:val="0"/>
          <w:lang w:val="en-US"/>
        </w:rPr>
        <w:t xml:space="preserve">Designing an online / remote access or interactive training platform. </w:t>
      </w:r>
    </w:p>
    <w:p>
      <w:pPr>
        <w:pStyle w:val="List Paragraph"/>
        <w:numPr>
          <w:ilvl w:val="0"/>
          <w:numId w:val="4"/>
        </w:numPr>
        <w:bidi w:val="0"/>
        <w:ind w:right="0"/>
        <w:jc w:val="both"/>
        <w:rPr>
          <w:rFonts w:ascii="Arial" w:hAnsi="Arial"/>
          <w:sz w:val="24"/>
          <w:szCs w:val="24"/>
          <w:rtl w:val="0"/>
          <w:lang w:val="en-US"/>
        </w:rPr>
      </w:pPr>
      <w:r>
        <w:rPr>
          <w:rFonts w:ascii="Arial" w:hAnsi="Arial"/>
          <w:sz w:val="24"/>
          <w:szCs w:val="24"/>
          <w:rtl w:val="0"/>
          <w:lang w:val="en-US"/>
        </w:rPr>
        <w:t>Hosting patient education days</w:t>
      </w:r>
    </w:p>
    <w:p>
      <w:pPr>
        <w:pStyle w:val="Body"/>
        <w:jc w:val="both"/>
        <w:rPr>
          <w:rFonts w:ascii="Arial" w:cs="Arial" w:hAnsi="Arial" w:eastAsia="Arial"/>
          <w:b w:val="1"/>
          <w:bCs w:val="1"/>
          <w:sz w:val="24"/>
          <w:szCs w:val="24"/>
        </w:rPr>
      </w:pPr>
    </w:p>
    <w:p>
      <w:pPr>
        <w:pStyle w:val="Body"/>
        <w:jc w:val="both"/>
        <w:rPr>
          <w:rFonts w:ascii="Arial" w:cs="Arial" w:hAnsi="Arial" w:eastAsia="Arial"/>
          <w:b w:val="1"/>
          <w:bCs w:val="1"/>
          <w:sz w:val="24"/>
          <w:szCs w:val="24"/>
        </w:rPr>
      </w:pPr>
      <w:r>
        <w:rPr>
          <w:rFonts w:ascii="Arial" w:hAnsi="Arial"/>
          <w:b w:val="1"/>
          <w:bCs w:val="1"/>
          <w:sz w:val="24"/>
          <w:szCs w:val="24"/>
          <w:rtl w:val="0"/>
          <w:lang w:val="en-US"/>
        </w:rPr>
        <w:t>Review and selection process.</w:t>
      </w:r>
    </w:p>
    <w:p>
      <w:pPr>
        <w:pStyle w:val="Body"/>
        <w:jc w:val="both"/>
        <w:rPr>
          <w:rFonts w:ascii="Arial" w:cs="Arial" w:hAnsi="Arial" w:eastAsia="Arial"/>
          <w:sz w:val="24"/>
          <w:szCs w:val="24"/>
        </w:rPr>
      </w:pPr>
      <w:r>
        <w:rPr>
          <w:rFonts w:ascii="Arial" w:hAnsi="Arial"/>
          <w:sz w:val="24"/>
          <w:szCs w:val="24"/>
          <w:rtl w:val="0"/>
          <w:lang w:val="en-US"/>
        </w:rPr>
        <w:t>Applications will be reviewed annually in the autumn by:</w:t>
      </w:r>
    </w:p>
    <w:p>
      <w:pPr>
        <w:pStyle w:val="List Paragraph"/>
        <w:numPr>
          <w:ilvl w:val="0"/>
          <w:numId w:val="6"/>
        </w:numPr>
        <w:bidi w:val="0"/>
        <w:ind w:right="0"/>
        <w:jc w:val="both"/>
        <w:rPr>
          <w:rFonts w:ascii="Arial" w:hAnsi="Arial"/>
          <w:sz w:val="24"/>
          <w:szCs w:val="24"/>
          <w:rtl w:val="0"/>
          <w:lang w:val="en-US"/>
        </w:rPr>
      </w:pPr>
      <w:r>
        <w:rPr>
          <w:rFonts w:ascii="Arial" w:hAnsi="Arial"/>
          <w:sz w:val="24"/>
          <w:szCs w:val="24"/>
          <w:rtl w:val="0"/>
          <w:lang w:val="en-US"/>
        </w:rPr>
        <w:t>Vasculitis UK representative(s)</w:t>
      </w:r>
    </w:p>
    <w:p>
      <w:pPr>
        <w:pStyle w:val="List Paragraph"/>
        <w:numPr>
          <w:ilvl w:val="0"/>
          <w:numId w:val="6"/>
        </w:numPr>
        <w:bidi w:val="0"/>
        <w:ind w:right="0"/>
        <w:jc w:val="both"/>
        <w:rPr>
          <w:rFonts w:ascii="Arial" w:hAnsi="Arial"/>
          <w:sz w:val="24"/>
          <w:szCs w:val="24"/>
          <w:rtl w:val="0"/>
          <w:lang w:val="en-US"/>
        </w:rPr>
      </w:pPr>
      <w:r>
        <w:rPr>
          <w:rFonts w:ascii="Arial" w:hAnsi="Arial"/>
          <w:sz w:val="24"/>
          <w:szCs w:val="24"/>
          <w:rtl w:val="0"/>
          <w:lang w:val="en-US"/>
        </w:rPr>
        <w:t>UKIVAS Education committee</w:t>
      </w:r>
    </w:p>
    <w:p>
      <w:pPr>
        <w:pStyle w:val="Body"/>
        <w:jc w:val="both"/>
        <w:rPr>
          <w:rFonts w:ascii="Arial" w:cs="Arial" w:hAnsi="Arial" w:eastAsia="Arial"/>
          <w:sz w:val="24"/>
          <w:szCs w:val="24"/>
        </w:rPr>
      </w:pPr>
      <w:r>
        <w:rPr>
          <w:rFonts w:ascii="Arial" w:hAnsi="Arial"/>
          <w:sz w:val="24"/>
          <w:szCs w:val="24"/>
          <w:rtl w:val="0"/>
          <w:lang w:val="en-US"/>
        </w:rPr>
        <w:t>Please use the attached form to submit your application.</w:t>
      </w:r>
    </w:p>
    <w:p>
      <w:pPr>
        <w:pStyle w:val="Body"/>
        <w:jc w:val="both"/>
        <w:rPr>
          <w:rFonts w:ascii="Arial" w:cs="Arial" w:hAnsi="Arial" w:eastAsia="Arial"/>
          <w:sz w:val="24"/>
          <w:szCs w:val="24"/>
        </w:rPr>
      </w:pPr>
      <w:r>
        <w:rPr>
          <w:rFonts w:ascii="Arial" w:hAnsi="Arial"/>
          <w:sz w:val="24"/>
          <w:szCs w:val="24"/>
          <w:rtl w:val="0"/>
          <w:lang w:val="en-US"/>
        </w:rPr>
        <w:t>For further questions about the award e.g.  time frames or suitability of projects for applying please contact: nina.brown@nca.nhs.uk</w:t>
      </w:r>
    </w:p>
    <w:p>
      <w:pPr>
        <w:pStyle w:val="Body"/>
        <w:rPr>
          <w:rFonts w:ascii="Arial" w:cs="Arial" w:hAnsi="Arial" w:eastAsia="Arial"/>
          <w:b w:val="1"/>
          <w:bCs w:val="1"/>
          <w:sz w:val="28"/>
          <w:szCs w:val="28"/>
        </w:rPr>
      </w:pPr>
    </w:p>
    <w:p>
      <w:pPr>
        <w:pStyle w:val="Body"/>
        <w:jc w:val="center"/>
        <w:rPr>
          <w:rFonts w:ascii="Arial" w:cs="Arial" w:hAnsi="Arial" w:eastAsia="Arial"/>
          <w:b w:val="1"/>
          <w:bCs w:val="1"/>
          <w:sz w:val="28"/>
          <w:szCs w:val="28"/>
        </w:rPr>
      </w:pPr>
      <w:r>
        <w:rPr>
          <w:rFonts w:ascii="Arial" w:hAnsi="Arial"/>
          <w:b w:val="1"/>
          <w:bCs w:val="1"/>
          <w:sz w:val="28"/>
          <w:szCs w:val="28"/>
          <w:rtl w:val="0"/>
          <w:lang w:val="en-US"/>
        </w:rPr>
        <w:t>The John Mills MBE Education Award</w:t>
      </w:r>
    </w:p>
    <w:p>
      <w:pPr>
        <w:pStyle w:val="Body"/>
        <w:jc w:val="center"/>
        <w:rPr>
          <w:rFonts w:ascii="Arial" w:cs="Arial" w:hAnsi="Arial" w:eastAsia="Arial"/>
          <w:b w:val="1"/>
          <w:bCs w:val="1"/>
          <w:sz w:val="28"/>
          <w:szCs w:val="28"/>
        </w:rPr>
      </w:pPr>
      <w:r>
        <w:rPr>
          <w:rFonts w:ascii="Arial" w:hAnsi="Arial"/>
          <w:b w:val="1"/>
          <w:bCs w:val="1"/>
          <w:sz w:val="28"/>
          <w:szCs w:val="28"/>
          <w:rtl w:val="0"/>
          <w:lang w:val="en-US"/>
        </w:rPr>
        <w:t>Application Form</w:t>
      </w:r>
    </w:p>
    <w:p>
      <w:pPr>
        <w:pStyle w:val="Body"/>
        <w:jc w:val="center"/>
        <w:rPr>
          <w:rFonts w:ascii="Arial" w:cs="Arial" w:hAnsi="Arial" w:eastAsia="Arial"/>
          <w:b w:val="1"/>
          <w:bCs w:val="1"/>
          <w:sz w:val="28"/>
          <w:szCs w:val="28"/>
        </w:rPr>
      </w:pPr>
      <w:r>
        <w:rPr>
          <w:rFonts w:ascii="Arial" w:hAnsi="Arial"/>
          <w:b w:val="1"/>
          <w:bCs w:val="1"/>
          <w:sz w:val="28"/>
          <w:szCs w:val="28"/>
          <w:rtl w:val="0"/>
          <w:lang w:val="en-US"/>
        </w:rPr>
        <w:t xml:space="preserve"> (500 words maximum)</w:t>
      </w:r>
    </w:p>
    <w:tbl>
      <w:tblPr>
        <w:tblW w:w="9121"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121"/>
      </w:tblGrid>
      <w:tr>
        <w:tblPrEx>
          <w:shd w:val="clear" w:color="auto" w:fill="cdd4e9"/>
        </w:tblPrEx>
        <w:trPr>
          <w:trHeight w:val="321" w:hRule="atLeast"/>
        </w:trPr>
        <w:tc>
          <w:tcPr>
            <w:tcW w:type="dxa" w:w="91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Arial" w:hAnsi="Arial"/>
                <w:b w:val="1"/>
                <w:bCs w:val="1"/>
                <w:sz w:val="28"/>
                <w:szCs w:val="28"/>
                <w:shd w:val="nil" w:color="auto" w:fill="auto"/>
                <w:rtl w:val="0"/>
                <w:lang w:val="en-US"/>
              </w:rPr>
              <w:t>Date:</w:t>
            </w:r>
          </w:p>
        </w:tc>
      </w:tr>
      <w:tr>
        <w:tblPrEx>
          <w:shd w:val="clear" w:color="auto" w:fill="cdd4e9"/>
        </w:tblPrEx>
        <w:trPr>
          <w:trHeight w:val="321" w:hRule="atLeast"/>
        </w:trPr>
        <w:tc>
          <w:tcPr>
            <w:tcW w:type="dxa" w:w="91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w:hAnsi="Arial"/>
                <w:b w:val="1"/>
                <w:bCs w:val="1"/>
                <w:sz w:val="28"/>
                <w:szCs w:val="28"/>
                <w:shd w:val="nil" w:color="auto" w:fill="auto"/>
                <w:rtl w:val="0"/>
                <w:lang w:val="en-US"/>
              </w:rPr>
              <w:t>Project title:</w:t>
            </w:r>
          </w:p>
        </w:tc>
      </w:tr>
      <w:tr>
        <w:tblPrEx>
          <w:shd w:val="clear" w:color="auto" w:fill="cdd4e9"/>
        </w:tblPrEx>
        <w:trPr>
          <w:trHeight w:val="641" w:hRule="atLeast"/>
        </w:trPr>
        <w:tc>
          <w:tcPr>
            <w:tcW w:type="dxa" w:w="91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w:cs="Arial" w:hAnsi="Arial" w:eastAsia="Arial"/>
                <w:b w:val="1"/>
                <w:bCs w:val="1"/>
                <w:sz w:val="28"/>
                <w:szCs w:val="28"/>
                <w:shd w:val="nil" w:color="auto" w:fill="auto"/>
                <w:lang w:val="en-US"/>
              </w:rPr>
            </w:r>
          </w:p>
        </w:tc>
      </w:tr>
      <w:tr>
        <w:tblPrEx>
          <w:shd w:val="clear" w:color="auto" w:fill="cdd4e9"/>
        </w:tblPrEx>
        <w:trPr>
          <w:trHeight w:val="641" w:hRule="atLeast"/>
        </w:trPr>
        <w:tc>
          <w:tcPr>
            <w:tcW w:type="dxa" w:w="91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w:hAnsi="Arial"/>
                <w:b w:val="1"/>
                <w:bCs w:val="1"/>
                <w:sz w:val="28"/>
                <w:szCs w:val="28"/>
                <w:shd w:val="nil" w:color="auto" w:fill="auto"/>
                <w:rtl w:val="0"/>
                <w:lang w:val="en-US"/>
              </w:rPr>
              <w:t>Rationale for the educational initiative:</w:t>
            </w:r>
            <w:r>
              <w:rPr>
                <w:rFonts w:ascii="Arial" w:cs="Arial" w:hAnsi="Arial" w:eastAsia="Arial"/>
                <w:b w:val="1"/>
                <w:bCs w:val="1"/>
                <w:sz w:val="28"/>
                <w:szCs w:val="28"/>
                <w:shd w:val="nil" w:color="auto" w:fill="auto"/>
              </w:rPr>
            </w:r>
          </w:p>
        </w:tc>
      </w:tr>
      <w:tr>
        <w:tblPrEx>
          <w:shd w:val="clear" w:color="auto" w:fill="cdd4e9"/>
        </w:tblPrEx>
        <w:trPr>
          <w:trHeight w:val="1601" w:hRule="atLeast"/>
        </w:trPr>
        <w:tc>
          <w:tcPr>
            <w:tcW w:type="dxa" w:w="91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w:cs="Arial" w:hAnsi="Arial" w:eastAsia="Arial"/>
                <w:b w:val="1"/>
                <w:bCs w:val="1"/>
                <w:sz w:val="28"/>
                <w:szCs w:val="28"/>
                <w:shd w:val="nil" w:color="auto" w:fill="auto"/>
                <w:lang w:val="en-US"/>
              </w:rPr>
            </w:pPr>
          </w:p>
          <w:p>
            <w:pPr>
              <w:pStyle w:val="Body"/>
              <w:spacing w:after="0" w:line="240" w:lineRule="auto"/>
              <w:rPr>
                <w:rFonts w:ascii="Arial" w:cs="Arial" w:hAnsi="Arial" w:eastAsia="Arial"/>
                <w:b w:val="1"/>
                <w:bCs w:val="1"/>
                <w:sz w:val="28"/>
                <w:szCs w:val="28"/>
                <w:shd w:val="nil" w:color="auto" w:fill="auto"/>
                <w:lang w:val="en-US"/>
              </w:rPr>
            </w:pPr>
          </w:p>
          <w:p>
            <w:pPr>
              <w:pStyle w:val="Body"/>
              <w:spacing w:after="0" w:line="240" w:lineRule="auto"/>
              <w:rPr>
                <w:rFonts w:ascii="Arial" w:cs="Arial" w:hAnsi="Arial" w:eastAsia="Arial"/>
                <w:b w:val="1"/>
                <w:bCs w:val="1"/>
                <w:sz w:val="28"/>
                <w:szCs w:val="28"/>
                <w:shd w:val="nil" w:color="auto" w:fill="auto"/>
                <w:lang w:val="en-US"/>
              </w:rPr>
            </w:pPr>
          </w:p>
          <w:p>
            <w:pPr>
              <w:pStyle w:val="Body"/>
              <w:spacing w:after="0" w:line="240" w:lineRule="auto"/>
            </w:pPr>
            <w:r>
              <w:rPr>
                <w:rFonts w:ascii="Arial" w:cs="Arial" w:hAnsi="Arial" w:eastAsia="Arial"/>
                <w:b w:val="1"/>
                <w:bCs w:val="1"/>
                <w:sz w:val="28"/>
                <w:szCs w:val="28"/>
                <w:shd w:val="nil" w:color="auto" w:fill="auto"/>
                <w:lang w:val="en-US"/>
              </w:rPr>
            </w:r>
          </w:p>
        </w:tc>
      </w:tr>
      <w:tr>
        <w:tblPrEx>
          <w:shd w:val="clear" w:color="auto" w:fill="cdd4e9"/>
        </w:tblPrEx>
        <w:trPr>
          <w:trHeight w:val="641" w:hRule="atLeast"/>
        </w:trPr>
        <w:tc>
          <w:tcPr>
            <w:tcW w:type="dxa" w:w="91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w:hAnsi="Arial"/>
                <w:b w:val="1"/>
                <w:bCs w:val="1"/>
                <w:sz w:val="28"/>
                <w:szCs w:val="28"/>
                <w:shd w:val="nil" w:color="auto" w:fill="auto"/>
                <w:rtl w:val="0"/>
                <w:lang w:val="en-US"/>
              </w:rPr>
              <w:t>Summary of educational initiative:</w:t>
            </w:r>
            <w:r>
              <w:rPr>
                <w:rFonts w:ascii="Arial" w:cs="Arial" w:hAnsi="Arial" w:eastAsia="Arial"/>
                <w:b w:val="1"/>
                <w:bCs w:val="1"/>
                <w:sz w:val="28"/>
                <w:szCs w:val="28"/>
                <w:shd w:val="nil" w:color="auto" w:fill="auto"/>
              </w:rPr>
            </w:r>
          </w:p>
        </w:tc>
      </w:tr>
      <w:tr>
        <w:tblPrEx>
          <w:shd w:val="clear" w:color="auto" w:fill="cdd4e9"/>
        </w:tblPrEx>
        <w:trPr>
          <w:trHeight w:val="2881" w:hRule="atLeast"/>
        </w:trPr>
        <w:tc>
          <w:tcPr>
            <w:tcW w:type="dxa" w:w="91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w:cs="Arial" w:hAnsi="Arial" w:eastAsia="Arial"/>
                <w:b w:val="1"/>
                <w:bCs w:val="1"/>
                <w:sz w:val="28"/>
                <w:szCs w:val="28"/>
                <w:shd w:val="nil" w:color="auto" w:fill="auto"/>
                <w:lang w:val="en-US"/>
              </w:rPr>
            </w:pPr>
          </w:p>
          <w:p>
            <w:pPr>
              <w:pStyle w:val="Body"/>
              <w:spacing w:after="0" w:line="240" w:lineRule="auto"/>
              <w:rPr>
                <w:rFonts w:ascii="Arial" w:cs="Arial" w:hAnsi="Arial" w:eastAsia="Arial"/>
                <w:b w:val="1"/>
                <w:bCs w:val="1"/>
                <w:sz w:val="28"/>
                <w:szCs w:val="28"/>
                <w:shd w:val="nil" w:color="auto" w:fill="auto"/>
                <w:lang w:val="en-US"/>
              </w:rPr>
            </w:pPr>
          </w:p>
          <w:p>
            <w:pPr>
              <w:pStyle w:val="Body"/>
              <w:spacing w:after="0" w:line="240" w:lineRule="auto"/>
              <w:rPr>
                <w:rFonts w:ascii="Arial" w:cs="Arial" w:hAnsi="Arial" w:eastAsia="Arial"/>
                <w:b w:val="1"/>
                <w:bCs w:val="1"/>
                <w:sz w:val="28"/>
                <w:szCs w:val="28"/>
                <w:shd w:val="nil" w:color="auto" w:fill="auto"/>
                <w:lang w:val="en-US"/>
              </w:rPr>
            </w:pPr>
          </w:p>
          <w:p>
            <w:pPr>
              <w:pStyle w:val="Body"/>
              <w:spacing w:after="0" w:line="240" w:lineRule="auto"/>
              <w:rPr>
                <w:rFonts w:ascii="Arial" w:cs="Arial" w:hAnsi="Arial" w:eastAsia="Arial"/>
                <w:b w:val="1"/>
                <w:bCs w:val="1"/>
                <w:sz w:val="28"/>
                <w:szCs w:val="28"/>
                <w:shd w:val="nil" w:color="auto" w:fill="auto"/>
                <w:lang w:val="en-US"/>
              </w:rPr>
            </w:pPr>
          </w:p>
          <w:p>
            <w:pPr>
              <w:pStyle w:val="Body"/>
              <w:spacing w:after="0" w:line="240" w:lineRule="auto"/>
              <w:rPr>
                <w:rFonts w:ascii="Arial" w:cs="Arial" w:hAnsi="Arial" w:eastAsia="Arial"/>
                <w:b w:val="1"/>
                <w:bCs w:val="1"/>
                <w:sz w:val="28"/>
                <w:szCs w:val="28"/>
                <w:shd w:val="nil" w:color="auto" w:fill="auto"/>
                <w:lang w:val="en-US"/>
              </w:rPr>
            </w:pPr>
          </w:p>
          <w:p>
            <w:pPr>
              <w:pStyle w:val="Body"/>
              <w:spacing w:after="0" w:line="240" w:lineRule="auto"/>
              <w:rPr>
                <w:rFonts w:ascii="Arial" w:cs="Arial" w:hAnsi="Arial" w:eastAsia="Arial"/>
                <w:b w:val="1"/>
                <w:bCs w:val="1"/>
                <w:sz w:val="28"/>
                <w:szCs w:val="28"/>
                <w:shd w:val="nil" w:color="auto" w:fill="auto"/>
                <w:lang w:val="en-US"/>
              </w:rPr>
            </w:pPr>
          </w:p>
          <w:p>
            <w:pPr>
              <w:pStyle w:val="Body"/>
              <w:spacing w:after="0" w:line="240" w:lineRule="auto"/>
              <w:rPr>
                <w:rFonts w:ascii="Arial" w:cs="Arial" w:hAnsi="Arial" w:eastAsia="Arial"/>
                <w:b w:val="1"/>
                <w:bCs w:val="1"/>
                <w:sz w:val="28"/>
                <w:szCs w:val="28"/>
                <w:shd w:val="nil" w:color="auto" w:fill="auto"/>
                <w:lang w:val="en-US"/>
              </w:rPr>
            </w:pPr>
          </w:p>
          <w:p>
            <w:pPr>
              <w:pStyle w:val="Body"/>
              <w:spacing w:after="0" w:line="240" w:lineRule="auto"/>
            </w:pPr>
            <w:r>
              <w:rPr>
                <w:rFonts w:ascii="Arial" w:cs="Arial" w:hAnsi="Arial" w:eastAsia="Arial"/>
                <w:b w:val="1"/>
                <w:bCs w:val="1"/>
                <w:sz w:val="28"/>
                <w:szCs w:val="28"/>
                <w:shd w:val="nil" w:color="auto" w:fill="auto"/>
                <w:lang w:val="en-US"/>
              </w:rPr>
            </w:r>
          </w:p>
        </w:tc>
      </w:tr>
      <w:tr>
        <w:tblPrEx>
          <w:shd w:val="clear" w:color="auto" w:fill="cdd4e9"/>
        </w:tblPrEx>
        <w:trPr>
          <w:trHeight w:val="282" w:hRule="atLeast"/>
        </w:trPr>
        <w:tc>
          <w:tcPr>
            <w:tcW w:type="dxa" w:w="91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Arial" w:hAnsi="Arial"/>
                <w:b w:val="1"/>
                <w:bCs w:val="1"/>
                <w:sz w:val="24"/>
                <w:szCs w:val="24"/>
                <w:shd w:val="nil" w:color="auto" w:fill="auto"/>
                <w:rtl w:val="0"/>
                <w:lang w:val="en-US"/>
              </w:rPr>
              <w:t>Outcomes:</w:t>
            </w:r>
          </w:p>
        </w:tc>
      </w:tr>
      <w:tr>
        <w:tblPrEx>
          <w:shd w:val="clear" w:color="auto" w:fill="cdd4e9"/>
        </w:tblPrEx>
        <w:trPr>
          <w:trHeight w:val="2522" w:hRule="atLeast"/>
        </w:trPr>
        <w:tc>
          <w:tcPr>
            <w:tcW w:type="dxa" w:w="91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Arial" w:cs="Arial" w:hAnsi="Arial" w:eastAsia="Arial"/>
                <w:b w:val="1"/>
                <w:bCs w:val="1"/>
                <w:sz w:val="24"/>
                <w:szCs w:val="24"/>
                <w:shd w:val="nil" w:color="auto" w:fill="auto"/>
                <w:lang w:val="en-US"/>
              </w:rPr>
            </w:pPr>
          </w:p>
          <w:p>
            <w:pPr>
              <w:pStyle w:val="Body"/>
              <w:spacing w:after="0" w:line="240" w:lineRule="auto"/>
              <w:rPr>
                <w:rFonts w:ascii="Arial" w:cs="Arial" w:hAnsi="Arial" w:eastAsia="Arial"/>
                <w:b w:val="1"/>
                <w:bCs w:val="1"/>
                <w:sz w:val="24"/>
                <w:szCs w:val="24"/>
                <w:shd w:val="nil" w:color="auto" w:fill="auto"/>
                <w:lang w:val="en-US"/>
              </w:rPr>
            </w:pPr>
          </w:p>
          <w:p>
            <w:pPr>
              <w:pStyle w:val="Body"/>
              <w:spacing w:after="0" w:line="240" w:lineRule="auto"/>
              <w:rPr>
                <w:rFonts w:ascii="Arial" w:cs="Arial" w:hAnsi="Arial" w:eastAsia="Arial"/>
                <w:b w:val="1"/>
                <w:bCs w:val="1"/>
                <w:sz w:val="24"/>
                <w:szCs w:val="24"/>
                <w:shd w:val="nil" w:color="auto" w:fill="auto"/>
                <w:lang w:val="en-US"/>
              </w:rPr>
            </w:pPr>
          </w:p>
          <w:p>
            <w:pPr>
              <w:pStyle w:val="Body"/>
              <w:spacing w:after="0" w:line="240" w:lineRule="auto"/>
              <w:rPr>
                <w:rFonts w:ascii="Arial" w:cs="Arial" w:hAnsi="Arial" w:eastAsia="Arial"/>
                <w:b w:val="1"/>
                <w:bCs w:val="1"/>
                <w:sz w:val="24"/>
                <w:szCs w:val="24"/>
                <w:shd w:val="nil" w:color="auto" w:fill="auto"/>
                <w:lang w:val="en-US"/>
              </w:rPr>
            </w:pPr>
          </w:p>
          <w:p>
            <w:pPr>
              <w:pStyle w:val="Body"/>
              <w:spacing w:after="0" w:line="240" w:lineRule="auto"/>
              <w:rPr>
                <w:rFonts w:ascii="Arial" w:cs="Arial" w:hAnsi="Arial" w:eastAsia="Arial"/>
                <w:b w:val="1"/>
                <w:bCs w:val="1"/>
                <w:sz w:val="24"/>
                <w:szCs w:val="24"/>
                <w:shd w:val="nil" w:color="auto" w:fill="auto"/>
                <w:lang w:val="en-US"/>
              </w:rPr>
            </w:pPr>
          </w:p>
          <w:p>
            <w:pPr>
              <w:pStyle w:val="Body"/>
              <w:spacing w:after="0" w:line="240" w:lineRule="auto"/>
              <w:rPr>
                <w:rFonts w:ascii="Arial" w:cs="Arial" w:hAnsi="Arial" w:eastAsia="Arial"/>
                <w:b w:val="1"/>
                <w:bCs w:val="1"/>
                <w:sz w:val="24"/>
                <w:szCs w:val="24"/>
                <w:shd w:val="nil" w:color="auto" w:fill="auto"/>
                <w:lang w:val="en-US"/>
              </w:rPr>
            </w:pPr>
          </w:p>
          <w:p>
            <w:pPr>
              <w:pStyle w:val="Body"/>
              <w:spacing w:after="0" w:line="240" w:lineRule="auto"/>
              <w:rPr>
                <w:rFonts w:ascii="Arial" w:cs="Arial" w:hAnsi="Arial" w:eastAsia="Arial"/>
                <w:b w:val="1"/>
                <w:bCs w:val="1"/>
                <w:sz w:val="24"/>
                <w:szCs w:val="24"/>
                <w:shd w:val="nil" w:color="auto" w:fill="auto"/>
                <w:lang w:val="en-US"/>
              </w:rPr>
            </w:pPr>
          </w:p>
          <w:p>
            <w:pPr>
              <w:pStyle w:val="Body"/>
              <w:spacing w:after="0" w:line="240" w:lineRule="auto"/>
            </w:pPr>
            <w:r>
              <w:rPr>
                <w:rFonts w:ascii="Arial" w:cs="Arial" w:hAnsi="Arial" w:eastAsia="Arial"/>
                <w:b w:val="1"/>
                <w:bCs w:val="1"/>
                <w:sz w:val="24"/>
                <w:szCs w:val="24"/>
                <w:shd w:val="nil" w:color="auto" w:fill="auto"/>
                <w:lang w:val="en-US"/>
              </w:rPr>
            </w:r>
          </w:p>
        </w:tc>
      </w:tr>
    </w:tbl>
    <w:p>
      <w:pPr>
        <w:pStyle w:val="Body"/>
        <w:widowControl w:val="0"/>
        <w:spacing w:line="240" w:lineRule="auto"/>
        <w:jc w:val="center"/>
        <w:rPr>
          <w:rFonts w:ascii="Arial" w:cs="Arial" w:hAnsi="Arial" w:eastAsia="Arial"/>
          <w:b w:val="1"/>
          <w:bCs w:val="1"/>
          <w:sz w:val="28"/>
          <w:szCs w:val="28"/>
        </w:rPr>
      </w:pPr>
    </w:p>
    <w:p>
      <w:pPr>
        <w:pStyle w:val="Body"/>
        <w:rPr>
          <w:rFonts w:ascii="Arial" w:cs="Arial" w:hAnsi="Arial" w:eastAsia="Arial"/>
          <w:b w:val="1"/>
          <w:bCs w:val="1"/>
          <w:sz w:val="24"/>
          <w:szCs w:val="24"/>
        </w:rPr>
      </w:pPr>
    </w:p>
    <w:p>
      <w:pPr>
        <w:pStyle w:val="Body"/>
        <w:rPr>
          <w:outline w:val="0"/>
          <w:color w:val="0070c0"/>
          <w:sz w:val="24"/>
          <w:szCs w:val="24"/>
          <w:u w:color="0070c0"/>
          <w14:textFill>
            <w14:solidFill>
              <w14:srgbClr w14:val="0070C0"/>
            </w14:solidFill>
          </w14:textFill>
        </w:rPr>
      </w:pPr>
      <w:r>
        <w:rPr>
          <w:rFonts w:ascii="Arial" w:hAnsi="Arial"/>
          <w:b w:val="1"/>
          <w:bCs w:val="1"/>
          <w:sz w:val="24"/>
          <w:szCs w:val="24"/>
          <w:rtl w:val="0"/>
          <w:lang w:val="en-US"/>
        </w:rPr>
        <w:t xml:space="preserve">Please email completed forms to:- </w:t>
      </w:r>
      <w:r>
        <w:rPr>
          <w:outline w:val="0"/>
          <w:color w:val="0070c0"/>
          <w:sz w:val="24"/>
          <w:szCs w:val="24"/>
          <w:u w:color="0070c0"/>
          <w:rtl w:val="0"/>
          <w14:textFill>
            <w14:solidFill>
              <w14:srgbClr w14:val="0070C0"/>
            </w14:solidFill>
          </w14:textFill>
        </w:rPr>
        <w:t>nina.brown@nca.nhs.uk</w:t>
      </w:r>
    </w:p>
    <w:tbl>
      <w:tblPr>
        <w:tblW w:w="90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9016"/>
      </w:tblGrid>
      <w:tr>
        <w:tblPrEx>
          <w:shd w:val="clear" w:color="auto" w:fill="cdd4e9"/>
        </w:tblPrEx>
        <w:trPr>
          <w:trHeight w:val="1024" w:hRule="atLeast"/>
        </w:trPr>
        <w:tc>
          <w:tcPr>
            <w:tcW w:type="dxa" w:w="90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rFonts w:ascii="Arial" w:cs="Arial" w:hAnsi="Arial" w:eastAsia="Arial"/>
                <w:b w:val="1"/>
                <w:bCs w:val="1"/>
                <w:sz w:val="24"/>
                <w:szCs w:val="24"/>
                <w:shd w:val="nil" w:color="auto" w:fill="auto"/>
              </w:rPr>
            </w:pPr>
            <w:r>
              <w:rPr>
                <w:rFonts w:ascii="Arial" w:hAnsi="Arial"/>
                <w:b w:val="1"/>
                <w:bCs w:val="1"/>
                <w:sz w:val="24"/>
                <w:szCs w:val="24"/>
                <w:shd w:val="nil" w:color="auto" w:fill="auto"/>
                <w:rtl w:val="0"/>
                <w:lang w:val="en-US"/>
              </w:rPr>
              <w:t>For office use only:</w:t>
            </w:r>
          </w:p>
          <w:p>
            <w:pPr>
              <w:pStyle w:val="Body"/>
              <w:bidi w:val="0"/>
              <w:spacing w:after="0" w:line="240" w:lineRule="auto"/>
              <w:ind w:left="0" w:right="0" w:firstLine="0"/>
              <w:jc w:val="left"/>
              <w:rPr>
                <w:rtl w:val="0"/>
              </w:rPr>
            </w:pPr>
            <w:r>
              <w:rPr>
                <w:rFonts w:ascii="Arial" w:hAnsi="Arial"/>
                <w:sz w:val="24"/>
                <w:szCs w:val="24"/>
                <w:shd w:val="nil" w:color="auto" w:fill="auto"/>
                <w:rtl w:val="0"/>
                <w:lang w:val="en-US"/>
              </w:rPr>
              <w:t>Date received:                                       Date of review:                                Approved: Yes / no</w:t>
            </w:r>
          </w:p>
        </w:tc>
      </w:tr>
    </w:tbl>
    <w:p>
      <w:pPr>
        <w:pStyle w:val="Body"/>
        <w:widowControl w:val="0"/>
        <w:spacing w:line="240" w:lineRule="auto"/>
      </w:pPr>
      <w:r>
        <w:rPr>
          <w:outline w:val="0"/>
          <w:color w:val="0070c0"/>
          <w:sz w:val="24"/>
          <w:szCs w:val="24"/>
          <w:u w:color="0070c0"/>
          <w14:textFill>
            <w14:solidFill>
              <w14:srgbClr w14:val="0070C0"/>
            </w14:solidFill>
          </w14:textFill>
        </w:rPr>
      </w:r>
    </w:p>
    <w:sectPr>
      <w:headerReference w:type="default" r:id="rId5"/>
      <w:footerReference w:type="default" r:id="rId6"/>
      <w:pgSz w:w="11900" w:h="16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026"/>
      </w:tabs>
    </w:pPr>
    <w:r>
      <w:rPr>
        <w:rtl w:val="0"/>
        <w:lang w:val="en-US"/>
      </w:rPr>
      <w:t xml:space="preserve">The John Mills Education Award June 25 </w:t>
    </w:r>
    <w:r>
      <w:rPr>
        <w:rtl w:val="0"/>
        <w:lang w:val="en-US"/>
      </w:rPr>
      <w:t xml:space="preserve">– </w:t>
    </w:r>
    <w:r>
      <w:rPr>
        <w:rtl w:val="0"/>
        <w:lang w:val="en-US"/>
      </w:rPr>
      <w:t>V.0.4</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